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5011"/>
        <w:gridCol w:w="2036"/>
      </w:tblGrid>
      <w:tr w:rsidR="00292D6A">
        <w:trPr>
          <w:trHeight w:val="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292D6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A17EF9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188" w:dyaOrig="2338">
                <v:rect id="rectole0000000000" o:spid="_x0000_i1025" style="width:109.5pt;height:117pt" o:ole="" o:preferrelative="t" stroked="f">
                  <v:imagedata r:id="rId5" o:title=""/>
                </v:rect>
                <o:OLEObject Type="Embed" ProgID="StaticMetafile" ShapeID="rectole0000000000" DrawAspect="Content" ObjectID="_1654012540" r:id="rId6"/>
              </w:objec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292D6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2D6A" w:rsidRDefault="00292D6A">
      <w:pPr>
        <w:spacing w:before="100" w:after="10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292D6A" w:rsidRDefault="00292D6A">
      <w:pPr>
        <w:spacing w:before="100" w:after="100" w:line="240" w:lineRule="auto"/>
        <w:jc w:val="both"/>
        <w:rPr>
          <w:rFonts w:ascii="Verdana" w:eastAsia="Verdana" w:hAnsi="Verdana" w:cs="Verdana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292D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A17E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MESURES DE PUBLICITE</w:t>
            </w:r>
          </w:p>
        </w:tc>
      </w:tr>
      <w:tr w:rsidR="00292D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A17EF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Convention d’occupation du domaine public relative à l’exploitation :</w:t>
            </w:r>
          </w:p>
        </w:tc>
      </w:tr>
      <w:tr w:rsidR="00292D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A17EF9" w:rsidP="00C53A3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 la cafétéria du Tribunal </w:t>
            </w:r>
            <w:r w:rsidR="00C53A32">
              <w:rPr>
                <w:rFonts w:ascii="Arial" w:eastAsia="Arial" w:hAnsi="Arial" w:cs="Arial"/>
                <w:b/>
                <w:sz w:val="24"/>
              </w:rPr>
              <w:t>judiciaire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de Bobigny</w:t>
            </w:r>
          </w:p>
        </w:tc>
      </w:tr>
      <w:tr w:rsidR="00292D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A17E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b/>
                <w:sz w:val="24"/>
              </w:rPr>
              <w:t>de distributeurs de boissons chaudes et froides et denrées alimentaires de l’arrondissement judiciaire de Bobigny</w:t>
            </w:r>
          </w:p>
        </w:tc>
      </w:tr>
      <w:tr w:rsidR="00292D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6A" w:rsidRDefault="00292D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92D6A" w:rsidRDefault="00292D6A">
      <w:pPr>
        <w:spacing w:before="100" w:after="100" w:line="240" w:lineRule="auto"/>
        <w:jc w:val="both"/>
        <w:rPr>
          <w:rFonts w:ascii="Verdana" w:eastAsia="Verdana" w:hAnsi="Verdana" w:cs="Verdana"/>
          <w:sz w:val="18"/>
        </w:rPr>
      </w:pP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Date prévisionnelle de début des prestations</w:t>
      </w:r>
      <w:r>
        <w:rPr>
          <w:rFonts w:ascii="Arial" w:eastAsia="Arial" w:hAnsi="Arial" w:cs="Arial"/>
        </w:rPr>
        <w:t> : 0</w:t>
      </w:r>
      <w:r w:rsidR="00350C5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 w:rsidR="00350C57">
        <w:rPr>
          <w:rFonts w:ascii="Arial" w:eastAsia="Arial" w:hAnsi="Arial" w:cs="Arial"/>
        </w:rPr>
        <w:t>septembre</w:t>
      </w:r>
      <w:r>
        <w:rPr>
          <w:rFonts w:ascii="Arial" w:eastAsia="Arial" w:hAnsi="Arial" w:cs="Arial"/>
        </w:rPr>
        <w:t xml:space="preserve"> 2020</w:t>
      </w:r>
    </w:p>
    <w:p w:rsidR="00292D6A" w:rsidRDefault="00292D6A">
      <w:pPr>
        <w:spacing w:after="0" w:line="240" w:lineRule="auto"/>
        <w:jc w:val="both"/>
        <w:rPr>
          <w:rFonts w:ascii="Arial" w:eastAsia="Arial" w:hAnsi="Arial" w:cs="Arial"/>
        </w:rPr>
      </w:pP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Durée de la convention</w:t>
      </w:r>
      <w:r>
        <w:rPr>
          <w:rFonts w:ascii="Arial" w:eastAsia="Arial" w:hAnsi="Arial" w:cs="Arial"/>
        </w:rPr>
        <w:t> : 3 ans</w:t>
      </w:r>
    </w:p>
    <w:p w:rsidR="00292D6A" w:rsidRDefault="00292D6A">
      <w:pPr>
        <w:spacing w:after="0" w:line="240" w:lineRule="auto"/>
        <w:jc w:val="both"/>
        <w:rPr>
          <w:rFonts w:ascii="Arial" w:eastAsia="Arial" w:hAnsi="Arial" w:cs="Arial"/>
        </w:rPr>
      </w:pP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Date limite de candidature</w:t>
      </w:r>
      <w:r>
        <w:rPr>
          <w:rFonts w:ascii="Arial" w:eastAsia="Arial" w:hAnsi="Arial" w:cs="Arial"/>
        </w:rPr>
        <w:t xml:space="preserve"> : </w:t>
      </w:r>
      <w:r w:rsidR="00350C57">
        <w:rPr>
          <w:rFonts w:ascii="Arial" w:eastAsia="Arial" w:hAnsi="Arial" w:cs="Arial"/>
        </w:rPr>
        <w:t>3 juillet 2020</w:t>
      </w: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Contact Administration</w:t>
      </w:r>
      <w:r>
        <w:rPr>
          <w:rFonts w:ascii="Arial" w:eastAsia="Arial" w:hAnsi="Arial" w:cs="Arial"/>
        </w:rPr>
        <w:t xml:space="preserve"> : </w:t>
      </w:r>
      <w:r w:rsidR="00350C57">
        <w:rPr>
          <w:rFonts w:ascii="Arial" w:eastAsia="Arial" w:hAnsi="Arial" w:cs="Arial"/>
        </w:rPr>
        <w:t>Mme Evelyne LEMAIRE</w:t>
      </w:r>
      <w:r>
        <w:rPr>
          <w:rFonts w:ascii="Arial" w:eastAsia="Arial" w:hAnsi="Arial" w:cs="Arial"/>
        </w:rPr>
        <w:t xml:space="preserve">, </w:t>
      </w:r>
      <w:hyperlink r:id="rId7" w:history="1">
        <w:r w:rsidR="00350C57" w:rsidRPr="00D13A6D">
          <w:rPr>
            <w:rStyle w:val="Lienhypertexte"/>
            <w:rFonts w:ascii="Arial" w:eastAsia="Arial" w:hAnsi="Arial" w:cs="Arial"/>
          </w:rPr>
          <w:t>evelyne.lemaire@justice.fr</w:t>
        </w:r>
      </w:hyperlink>
      <w:r w:rsidR="00350C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01.48.95.</w:t>
      </w:r>
      <w:r w:rsidR="00C53A32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>.6</w:t>
      </w:r>
      <w:r w:rsidR="00C53A32">
        <w:rPr>
          <w:rFonts w:ascii="Arial" w:eastAsia="Arial" w:hAnsi="Arial" w:cs="Arial"/>
        </w:rPr>
        <w:t>3</w:t>
      </w:r>
    </w:p>
    <w:p w:rsidR="00292D6A" w:rsidRDefault="00292D6A">
      <w:pPr>
        <w:spacing w:after="0" w:line="240" w:lineRule="auto"/>
        <w:jc w:val="both"/>
        <w:rPr>
          <w:rFonts w:ascii="Arial" w:eastAsia="Arial" w:hAnsi="Arial" w:cs="Arial"/>
        </w:rPr>
      </w:pP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Visite</w:t>
      </w:r>
      <w:r>
        <w:rPr>
          <w:rFonts w:ascii="Arial" w:eastAsia="Arial" w:hAnsi="Arial" w:cs="Arial"/>
        </w:rPr>
        <w:t xml:space="preserve"> : L’espace cafétéria </w:t>
      </w:r>
      <w:r w:rsidR="00350C57">
        <w:rPr>
          <w:rFonts w:ascii="Arial" w:eastAsia="Arial" w:hAnsi="Arial" w:cs="Arial"/>
        </w:rPr>
        <w:t xml:space="preserve">vient d’être aménagé et est en cours d’achèvement. </w:t>
      </w:r>
      <w:r>
        <w:rPr>
          <w:rFonts w:ascii="Arial" w:eastAsia="Arial" w:hAnsi="Arial" w:cs="Arial"/>
        </w:rPr>
        <w:t xml:space="preserve">Une visite </w:t>
      </w:r>
      <w:r w:rsidR="002F543C">
        <w:rPr>
          <w:rFonts w:ascii="Arial" w:eastAsia="Arial" w:hAnsi="Arial" w:cs="Arial"/>
        </w:rPr>
        <w:t>pourra</w:t>
      </w:r>
      <w:r w:rsidRPr="00A17EF9">
        <w:rPr>
          <w:rFonts w:ascii="Arial" w:eastAsia="Arial" w:hAnsi="Arial" w:cs="Arial"/>
        </w:rPr>
        <w:t xml:space="preserve"> être organisée </w:t>
      </w:r>
      <w:r w:rsidR="002F543C" w:rsidRPr="002F543C">
        <w:rPr>
          <w:rFonts w:ascii="Arial" w:eastAsia="Arial" w:hAnsi="Arial" w:cs="Arial"/>
        </w:rPr>
        <w:t>après dépôt des dossiers de candidature</w:t>
      </w:r>
      <w:r w:rsidR="002F543C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Des plans seront fournis dans le dossier qui sera transmis aux candidats par l’Administration.</w:t>
      </w:r>
    </w:p>
    <w:p w:rsidR="00292D6A" w:rsidRDefault="00292D6A">
      <w:pPr>
        <w:spacing w:after="0" w:line="240" w:lineRule="auto"/>
        <w:jc w:val="both"/>
        <w:rPr>
          <w:rFonts w:ascii="Arial" w:eastAsia="Arial" w:hAnsi="Arial" w:cs="Arial"/>
        </w:rPr>
      </w:pPr>
    </w:p>
    <w:p w:rsidR="00292D6A" w:rsidRDefault="00292D6A">
      <w:pPr>
        <w:spacing w:after="0" w:line="240" w:lineRule="auto"/>
        <w:jc w:val="both"/>
        <w:rPr>
          <w:rFonts w:ascii="Arial" w:eastAsia="Arial" w:hAnsi="Arial" w:cs="Arial"/>
        </w:rPr>
      </w:pP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Procédure de sélection</w:t>
      </w:r>
      <w:r>
        <w:rPr>
          <w:rFonts w:ascii="Arial" w:eastAsia="Arial" w:hAnsi="Arial" w:cs="Arial"/>
        </w:rPr>
        <w:t> :</w:t>
      </w:r>
    </w:p>
    <w:p w:rsidR="00292D6A" w:rsidRDefault="00292D6A">
      <w:pPr>
        <w:spacing w:after="0" w:line="240" w:lineRule="auto"/>
        <w:jc w:val="both"/>
        <w:rPr>
          <w:rFonts w:ascii="Arial" w:eastAsia="Arial" w:hAnsi="Arial" w:cs="Arial"/>
        </w:rPr>
      </w:pPr>
    </w:p>
    <w:p w:rsidR="00292D6A" w:rsidRDefault="00A17E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procédure de sélection du prestataire se déroulera en deux temps :</w:t>
      </w:r>
    </w:p>
    <w:p w:rsidR="00292D6A" w:rsidRDefault="00292D6A">
      <w:pPr>
        <w:spacing w:after="0" w:line="240" w:lineRule="auto"/>
        <w:jc w:val="both"/>
        <w:rPr>
          <w:rFonts w:ascii="Arial" w:eastAsia="Arial" w:hAnsi="Arial" w:cs="Arial"/>
        </w:rPr>
      </w:pPr>
    </w:p>
    <w:p w:rsidR="00292D6A" w:rsidRDefault="00A17EF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Phase de recueil des candidatures : les sociétés intéressées par les activités proposées devront se faire connaître auprès de l’Administration avant le </w:t>
      </w:r>
      <w:r w:rsidR="00350C57">
        <w:rPr>
          <w:rFonts w:ascii="Arial" w:eastAsia="Arial" w:hAnsi="Arial" w:cs="Arial"/>
        </w:rPr>
        <w:t>3 juillet 2020.</w:t>
      </w:r>
    </w:p>
    <w:p w:rsidR="00292D6A" w:rsidRDefault="00A17EF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Phase de dépôt des dossiers de candidature : le dossier complet sera transmis par l’Administration, à l’issue des mesures de publicité, aux sociétés qui se seront portées candidates. Ces sociétés disposeront d’un délai de </w:t>
      </w:r>
      <w:r w:rsidR="00350C57">
        <w:rPr>
          <w:rFonts w:ascii="Arial" w:eastAsia="Arial" w:hAnsi="Arial" w:cs="Arial"/>
        </w:rPr>
        <w:t>quatre semaines</w:t>
      </w:r>
      <w:r>
        <w:rPr>
          <w:rFonts w:ascii="Arial" w:eastAsia="Arial" w:hAnsi="Arial" w:cs="Arial"/>
        </w:rPr>
        <w:t xml:space="preserve">, soit du </w:t>
      </w:r>
      <w:r w:rsidR="00350C57">
        <w:rPr>
          <w:rFonts w:ascii="Arial" w:eastAsia="Arial" w:hAnsi="Arial" w:cs="Arial"/>
        </w:rPr>
        <w:t>3 au 31 juillet</w:t>
      </w:r>
      <w:r w:rsidR="00200DCC">
        <w:rPr>
          <w:rFonts w:ascii="Arial" w:eastAsia="Arial" w:hAnsi="Arial" w:cs="Arial"/>
        </w:rPr>
        <w:t xml:space="preserve"> 2020</w:t>
      </w:r>
      <w:r>
        <w:rPr>
          <w:rFonts w:ascii="Arial" w:eastAsia="Arial" w:hAnsi="Arial" w:cs="Arial"/>
        </w:rPr>
        <w:t>, pour déposer un dossier, y compris son mémoire technique, auprès de l’Administration</w:t>
      </w:r>
      <w:r w:rsidR="00350C57">
        <w:rPr>
          <w:rFonts w:ascii="Arial" w:eastAsia="Arial" w:hAnsi="Arial" w:cs="Arial"/>
        </w:rPr>
        <w:t>.</w:t>
      </w:r>
    </w:p>
    <w:p w:rsidR="00292D6A" w:rsidRDefault="00292D6A">
      <w:pPr>
        <w:spacing w:before="100" w:after="100" w:line="240" w:lineRule="auto"/>
        <w:jc w:val="both"/>
        <w:rPr>
          <w:rFonts w:ascii="Verdana" w:eastAsia="Verdana" w:hAnsi="Verdana" w:cs="Verdana"/>
          <w:sz w:val="18"/>
        </w:rPr>
      </w:pPr>
    </w:p>
    <w:p w:rsidR="00292D6A" w:rsidRDefault="00292D6A">
      <w:pPr>
        <w:spacing w:before="100" w:after="100" w:line="240" w:lineRule="auto"/>
        <w:jc w:val="both"/>
        <w:rPr>
          <w:rFonts w:ascii="Verdana" w:eastAsia="Verdana" w:hAnsi="Verdana" w:cs="Verdana"/>
          <w:sz w:val="18"/>
        </w:rPr>
      </w:pPr>
    </w:p>
    <w:sectPr w:rsidR="0029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312"/>
    <w:multiLevelType w:val="multilevel"/>
    <w:tmpl w:val="D1EE3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26B8D"/>
    <w:multiLevelType w:val="multilevel"/>
    <w:tmpl w:val="3D98854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1F5218"/>
    <w:multiLevelType w:val="multilevel"/>
    <w:tmpl w:val="4148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A"/>
    <w:rsid w:val="00200DCC"/>
    <w:rsid w:val="00292D6A"/>
    <w:rsid w:val="002F543C"/>
    <w:rsid w:val="00350C57"/>
    <w:rsid w:val="004E4AAF"/>
    <w:rsid w:val="005C1C78"/>
    <w:rsid w:val="009626A4"/>
    <w:rsid w:val="00A17EF9"/>
    <w:rsid w:val="00C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5708C-42C6-4A53-93B0-2F98FF1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0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lyne.lemaire@just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AIT-BAZIZ Marie-Laure</dc:creator>
  <cp:lastModifiedBy>BOURSIER Julie</cp:lastModifiedBy>
  <cp:revision>2</cp:revision>
  <dcterms:created xsi:type="dcterms:W3CDTF">2020-06-18T17:09:00Z</dcterms:created>
  <dcterms:modified xsi:type="dcterms:W3CDTF">2020-06-18T17:09:00Z</dcterms:modified>
</cp:coreProperties>
</file>